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DUPLEX Ascensores incrementa un 33% su facturación y alcanza los 80 millones de euros en 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El crecimiento de la compañía también se refleja en la evolución de su plantilla, que aumenta un 30% respecto a 2024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La empresa continúa ampliando su parque de instalaciones, que supera ya las 36.000 unidades en mantenimiento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Además, DUPLEX celebra este 2026 su 50 aniversario con un fuerte crecimiento, presencia en 22 provincias y un ambicioso plan de expansión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  <w:drawing>
          <wp:inline distB="114300" distT="114300" distL="114300" distR="114300">
            <wp:extent cx="5017214" cy="333596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7214" cy="3335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Madrid, 4 de mayo 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DUPLEX, empresa nacional de referencia de ascensores, ha cerrado 2025 con una facturación récord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80 millones de euros, un 33% más que en 2024,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cuando la compañía registró una facturación de 60 millones de euros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esta forma, continúa demostrando su solidez en el sector.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Asimismo, la evolución de la facturación refleja el crecimiento sostenido de DUPLEX en los últimos años, de los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41 millones de euros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los 80 millones en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un incremento que supone casi un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95%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este periodo y que consolida la trayectoria ascendente de la compañía.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Además, la evolución positiva de la empresa se mantiene en el inicio de 2026, ya que durante el primer trimestre del año, DUPLEX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 superado en un 10% los objetivos previstos de facturación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lo que confirma el buen ritmo de actividad y la eficacia de su estrategia.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“Estamos muy satisfechos, tanto por el cumplimiento de nuestros objetivos, como por los resultados obtenidos a lo largo de estos años, que son un ejemplo de que nuestra estrategia es sólida y fruto del esfuerzo del gran equipo de profesionales con el que contamos”, ha declarado Fernando Tobar Mateo, consejero delegado de DUPLEX.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2025 la compañía ha superado la cifra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600 empleados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cerca de un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30% más que en 2024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como resultado del crecimiento orgánico y de la integración de empresas.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lo largo de 2025, DUPLEX mantuvo una intensa actividad operativa, adquirió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empresas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más de diez en los últimos tres años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las diferentes delegaciones en las que opera.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este proceso de expansión se sumó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 entrada en la Comunidad Valenciana.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paralelo, la compañía continúa ampliando su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parque de instalaciones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supera las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36.000 unidades en mantenimiento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lo que representa un incremento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más del 12% respecto a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estrategia de crecimiento de DUPLEX se articula en torno a dos pilares: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consolidar su presencia en los territorios donde ya opera y expandirse hacia nuevas zonas estratégicas.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sede en Madrid y oficinas en Andalucía, Aragón, Asturias, Castilla-La Mancha, Comunidad Valenciana, Galicia, La Rioja y Murcia, la compañía desarrolla actualmente su actividad en 22 provincias.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este contexto, desde 2022 DUPLEX ha incorporado un total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 empresas a su estructura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Ese mismo año se incorporaron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Zaragoza, 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La Rioja. En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2023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continuó su proceso de expansión con la integración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IASA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(Granada) 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Elevalia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(Madrid). 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 incorporó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Alapont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(Comunidad Valenciana). 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el crecimiento se intensificó con la integración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Indaco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(Madrid),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Ascensores Gallego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(Ciudad Real) 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Ascensores de Graná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(Granada), entre otras.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50 años al servicio del sector de la elevación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año en que celebra su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50 aniversario,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compañía refuerza su apuesta por un modelo propio basado en la cercanía al cliente y la calidad del servicio.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Cinco décadas después de su fundación,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DUPLEX continúa evolucionando sin perder sus valores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consolidando una forma de entender el negocio basada en la confianza, el rigor profesional y la atención personalizada. Estos principios han guiado su crecimiento y le han permitido posicionarse como una de las empresas referentes del sector a nivel nacional.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compañía destaca por su amplia experiencia y su compromiso con el desarrollo de soluciones de accesibilidad que mejoren la calidad de vida de las personas.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Más sobre DUPLEX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Fundada en 1976, DUPLEX es una empresa española de ascensores con una amplia experiencia en el sector. Está especializada en la instalación, la reparación y el mantenimiento de todas las marcas de ascensores, escaleras mecánicas y puertas automáticas. Con sede en Madrid y presencia en 22 provincias, cuenta con 36.000 equipos en mantenimiento y más de 600 profesionales. El compromiso de mejorar la calidad de vida de las personas, a través de la accesibilidad, está presente en todas las áreas de la compañía, lo que se traduce en unas instalaciones eficientes y de calidad.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https://www.linkedin.com/company/duplex-ascensores/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https://www.facebook.com/DuplexAscensores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https://www.instagram.com/duplexascensores/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46788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67886"/>
          <w:sz w:val="16"/>
          <w:szCs w:val="16"/>
          <w:u w:val="single"/>
          <w:rtl w:val="0"/>
        </w:rPr>
        <w:t xml:space="preserve">twitter.com/duplexascensor</w:t>
      </w:r>
      <w:r w:rsidDel="00000000" w:rsidR="00000000" w:rsidRPr="00000000">
        <w:rPr>
          <w:rFonts w:ascii="Arial" w:cs="Arial" w:eastAsia="Arial" w:hAnsi="Arial"/>
          <w:b w:val="1"/>
          <w:bCs w:val="1"/>
          <w:color w:val="467886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https://www.tiktok.com/@duplexascensores/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hyperlink r:id="rId12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https://www.youtube.com/@duplex_ascensores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Contacto prensa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DUPLEX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Sara Martín - Departamento de Marketing y Comunicación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689 64 14 45 /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155cc"/>
          <w:sz w:val="20"/>
          <w:szCs w:val="20"/>
          <w:u w:val="single"/>
          <w:rtl w:val="0"/>
        </w:rPr>
        <w:t xml:space="preserve">smartin@duplexelevacion.es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ACTITUD DE COMUNICACIÓN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Virginia Ayala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913 02 28 60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color w:val="467886"/>
          <w:sz w:val="20"/>
          <w:szCs w:val="20"/>
          <w:u w:val="single"/>
          <w:rtl w:val="0"/>
        </w:rPr>
        <w:t xml:space="preserve">virginia.ayala@actitud.es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center"/>
      <w:rPr>
        <w:rFonts w:ascii="Arial" w:cs="Arial" w:eastAsia="Arial" w:hAnsi="Arial"/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1716722</wp:posOffset>
          </wp:positionH>
          <wp:positionV relativeFrom="paragraph">
            <wp:posOffset>24168</wp:posOffset>
          </wp:positionV>
          <wp:extent cx="1966595" cy="235025"/>
          <wp:effectExtent b="0" l="0" r="0" t="0"/>
          <wp:wrapNone/>
          <wp:docPr descr="Pantalla de video juego&#10;&#10;Descripción generada automáticamente con confianza media" id="1" name="image2.png"/>
          <a:graphic>
            <a:graphicData uri="http://schemas.openxmlformats.org/drawingml/2006/picture">
              <pic:pic>
                <pic:nvPicPr>
                  <pic:cNvPr descr="Pantalla de video juego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0" l="0" r="0" t="32828"/>
                  <a:stretch>
                    <a:fillRect/>
                  </a:stretch>
                </pic:blipFill>
                <pic:spPr>
                  <a:xfrm>
                    <a:off x="0" y="0"/>
                    <a:ext cx="1966595" cy="235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iktok.com/@duplexascensores/" TargetMode="External"/><Relationship Id="rId10" Type="http://schemas.openxmlformats.org/officeDocument/2006/relationships/hyperlink" Target="https://www.instagram.com/duplexascensores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@duplex_ascensor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DuplexAscensores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linkedin.com/company/duplex-ascensor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aKA6tHB/3khT7MZhZJfIEmcug==">CgMxLjA4AHIhMW1HZS1WUDRTcExlTHpuVjRhZTJPMXh1YzFwU1kyZzNw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